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61568E">
      <w:pPr>
        <w:keepNext/>
        <w:keepLines/>
        <w:pageBreakBefore w:val="0"/>
        <w:widowControl w:val="0"/>
        <w:kinsoku/>
        <w:wordWrap/>
        <w:overflowPunct/>
        <w:topLinePunct w:val="0"/>
        <w:autoSpaceDE/>
        <w:autoSpaceDN/>
        <w:bidi w:val="0"/>
        <w:adjustRightInd/>
        <w:snapToGrid/>
        <w:spacing w:before="0" w:after="0" w:line="560" w:lineRule="exact"/>
        <w:jc w:val="center"/>
        <w:textAlignment w:val="auto"/>
        <w:outlineLvl w:val="1"/>
        <w:rPr>
          <w:rFonts w:hint="default" w:ascii="Times New Roman" w:hAnsi="Times New Roman" w:eastAsia="方正小标宋简体" w:cs="Times New Roman"/>
          <w:b w:val="0"/>
          <w:bCs w:val="0"/>
          <w:kern w:val="2"/>
          <w:sz w:val="44"/>
          <w:szCs w:val="44"/>
          <w:lang w:val="en-US" w:eastAsia="zh-CN" w:bidi="ar-SA"/>
        </w:rPr>
      </w:pPr>
      <w:r>
        <w:rPr>
          <w:rFonts w:hint="default" w:ascii="Times New Roman" w:hAnsi="Times New Roman" w:eastAsia="方正小标宋简体" w:cs="Times New Roman"/>
          <w:b w:val="0"/>
          <w:bCs w:val="0"/>
          <w:kern w:val="2"/>
          <w:sz w:val="44"/>
          <w:szCs w:val="44"/>
          <w:lang w:val="en-US" w:eastAsia="zh-CN" w:bidi="ar-SA"/>
        </w:rPr>
        <w:t>池州市深入推进长三角一体化发展</w:t>
      </w:r>
    </w:p>
    <w:p w14:paraId="0934824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sz w:val="44"/>
          <w:szCs w:val="44"/>
          <w:lang w:val="en-US" w:eastAsia="zh-CN"/>
        </w:rPr>
      </w:pPr>
      <w:r>
        <w:rPr>
          <w:rFonts w:hint="default" w:ascii="Times New Roman" w:hAnsi="Times New Roman" w:eastAsia="方正小标宋简体" w:cs="Times New Roman"/>
          <w:sz w:val="44"/>
          <w:szCs w:val="44"/>
          <w:lang w:val="en-US" w:eastAsia="zh-CN"/>
        </w:rPr>
        <w:t>2025年工作要点</w:t>
      </w:r>
    </w:p>
    <w:p w14:paraId="1A0F084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Times New Roman" w:hAnsi="Times New Roman" w:eastAsia="仿宋_GB2312" w:cs="Times New Roman"/>
          <w:sz w:val="32"/>
          <w:szCs w:val="32"/>
          <w:lang w:val="en-US" w:eastAsia="zh-CN"/>
        </w:rPr>
      </w:pPr>
    </w:p>
    <w:p w14:paraId="4E2BE5C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以习近平新时代中国特色社会主义思想为指导，全面贯</w:t>
      </w:r>
      <w:bookmarkStart w:id="1" w:name="_GoBack"/>
      <w:bookmarkEnd w:id="1"/>
      <w:r>
        <w:rPr>
          <w:rFonts w:hint="eastAsia" w:ascii="方正仿宋_GBK" w:hAnsi="方正仿宋_GBK" w:eastAsia="方正仿宋_GBK" w:cs="方正仿宋_GBK"/>
          <w:sz w:val="32"/>
          <w:szCs w:val="32"/>
          <w:lang w:val="en-US" w:eastAsia="zh-CN"/>
        </w:rPr>
        <w:t>彻党的二十大和二十届二中、三中全会精神，深入学习贯彻习近平总书记关于推进长三角一体化发展的重要讲话重要指示和考察安徽重要讲话精神，紧扣“一体化”和“高质量”两个关键词，</w:t>
      </w:r>
      <w:r>
        <w:rPr>
          <w:rFonts w:hint="eastAsia" w:ascii="方正仿宋_GBK" w:hAnsi="方正仿宋_GBK" w:eastAsia="方正仿宋_GBK" w:cs="方正仿宋_GBK"/>
          <w:i w:val="0"/>
          <w:color w:val="000000"/>
          <w:sz w:val="32"/>
          <w:szCs w:val="32"/>
        </w:rPr>
        <w:t>以深入推进长三角一体化发展为牵引</w:t>
      </w:r>
      <w:r>
        <w:rPr>
          <w:rFonts w:hint="eastAsia" w:ascii="方正仿宋_GBK" w:hAnsi="方正仿宋_GBK" w:eastAsia="方正仿宋_GBK" w:cs="方正仿宋_GBK"/>
          <w:i w:val="0"/>
          <w:color w:val="000000"/>
          <w:sz w:val="32"/>
          <w:szCs w:val="32"/>
          <w:lang w:eastAsia="zh-CN"/>
        </w:rPr>
        <w:t>，全面服务和融入国家发展战略</w:t>
      </w:r>
      <w:r>
        <w:rPr>
          <w:rFonts w:hint="eastAsia" w:ascii="方正仿宋_GBK" w:hAnsi="方正仿宋_GBK" w:eastAsia="方正仿宋_GBK" w:cs="方正仿宋_GBK"/>
          <w:i w:val="0"/>
          <w:color w:val="000000"/>
          <w:sz w:val="32"/>
          <w:szCs w:val="32"/>
        </w:rPr>
        <w:t>，为长三角一体化高质量发展作出更大贡献</w:t>
      </w:r>
      <w:r>
        <w:rPr>
          <w:rFonts w:hint="eastAsia" w:ascii="方正仿宋_GBK" w:hAnsi="方正仿宋_GBK" w:eastAsia="方正仿宋_GBK" w:cs="方正仿宋_GBK"/>
          <w:sz w:val="32"/>
          <w:szCs w:val="32"/>
          <w:lang w:val="en-US" w:eastAsia="zh-CN"/>
        </w:rPr>
        <w:t>。</w:t>
      </w:r>
    </w:p>
    <w:p w14:paraId="0BFD997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一、加强科技创新和产业创新跨区域协同</w:t>
      </w:r>
    </w:p>
    <w:p w14:paraId="54863E4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方正仿宋_GBK" w:hAnsi="方正仿宋_GBK" w:eastAsia="方正仿宋_GBK" w:cs="方正仿宋_GBK"/>
          <w:sz w:val="32"/>
          <w:szCs w:val="32"/>
          <w:lang w:val="en-US" w:eastAsia="zh-CN"/>
        </w:rPr>
      </w:pPr>
      <w:r>
        <w:rPr>
          <w:rFonts w:hint="default" w:ascii="方正仿宋_GBK" w:hAnsi="方正仿宋_GBK" w:eastAsia="方正仿宋_GBK" w:cs="方正仿宋_GBK"/>
          <w:sz w:val="32"/>
          <w:szCs w:val="32"/>
          <w:lang w:val="en-US" w:eastAsia="zh-CN"/>
        </w:rPr>
        <w:t>1.对标学习湖州市“五谷丰登”，谋划打造池州未来科技园，配套建设国际人才社区，构建“人才+服务+资本+产业”科创生态，积极承接上海国际科技创新中心、合肥综合性国家科学中心溢出效应，赋能全市科技创新和产业创新。（牵头单位：市科技局、市投控集团；配合单位：有关管委会。以下均需县区政府、管委会落实，不再列出）</w:t>
      </w:r>
    </w:p>
    <w:p w14:paraId="7CE23AA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方正仿宋_GBK" w:hAnsi="方正仿宋_GBK" w:eastAsia="方正仿宋_GBK" w:cs="方正仿宋_GBK"/>
          <w:sz w:val="32"/>
          <w:szCs w:val="32"/>
          <w:lang w:val="en-US" w:eastAsia="zh-CN"/>
        </w:rPr>
      </w:pPr>
      <w:r>
        <w:rPr>
          <w:rFonts w:hint="default" w:ascii="方正仿宋_GBK" w:hAnsi="方正仿宋_GBK" w:eastAsia="方正仿宋_GBK" w:cs="方正仿宋_GBK"/>
          <w:sz w:val="32"/>
          <w:szCs w:val="32"/>
          <w:lang w:val="en-US" w:eastAsia="zh-CN"/>
        </w:rPr>
        <w:t>2.高质量推进镁基新材料产业发展攻坚三年行动，对接整合长三角科技领军企业和高端人才资源，联合开展镁冶炼装备智能化、镁合金大型一体化压铸件、镁还原渣综合循环利用技术攻关，积极推进一批概念验证、中试验证等技术成果转化项目，前瞻布局一批镁储氢、镁电池新质生产力项目，加快建设一批检验检测、表面处理、废渣废屑回收利用生态配套项目，建成投用镁基新材料储能节能低碳应用示范园（镁水铝水直供短流程产业园一期），加快建设省级镁基新材料汽车轻量化配套产业集群。（牵头单位：市工业和信息化局、市发展改革委、市科技局）</w:t>
      </w:r>
    </w:p>
    <w:p w14:paraId="0992FA7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方正仿宋_GBK" w:hAnsi="方正仿宋_GBK" w:eastAsia="方正仿宋_GBK" w:cs="方正仿宋_GBK"/>
          <w:sz w:val="32"/>
          <w:szCs w:val="32"/>
          <w:lang w:val="en-US" w:eastAsia="zh-CN"/>
        </w:rPr>
      </w:pPr>
      <w:r>
        <w:rPr>
          <w:rFonts w:hint="default" w:ascii="方正仿宋_GBK" w:hAnsi="方正仿宋_GBK" w:eastAsia="方正仿宋_GBK" w:cs="方正仿宋_GBK"/>
          <w:sz w:val="32"/>
          <w:szCs w:val="32"/>
          <w:lang w:val="en-US" w:eastAsia="zh-CN"/>
        </w:rPr>
        <w:t>3.加快建设功率器件芯片产业创新研究院，联合安徽工程大学开展车规级芯片关键技术研究以及系统级封装工艺研究和产业化，积极争创安徽省重点实验室。推动</w:t>
      </w:r>
      <w:r>
        <w:rPr>
          <w:rFonts w:hint="eastAsia" w:ascii="方正仿宋_GBK" w:hAnsi="方正仿宋_GBK" w:eastAsia="方正仿宋_GBK" w:cs="方正仿宋_GBK"/>
          <w:sz w:val="32"/>
          <w:szCs w:val="32"/>
          <w:lang w:val="en-US" w:eastAsia="zh-CN"/>
        </w:rPr>
        <w:t>半导体</w:t>
      </w:r>
      <w:r>
        <w:rPr>
          <w:rFonts w:hint="default" w:ascii="方正仿宋_GBK" w:hAnsi="方正仿宋_GBK" w:eastAsia="方正仿宋_GBK" w:cs="方正仿宋_GBK"/>
          <w:sz w:val="32"/>
          <w:szCs w:val="32"/>
          <w:lang w:val="en-US" w:eastAsia="zh-CN"/>
        </w:rPr>
        <w:t>企业联合比亚迪、江淮等长三角整车厂合作开发IGBT、MOS、TVS等产品，建设车规级MOS等产品封装线，联合长三角车用IC设计制造企业开展SIP系统级3D等高阶封装测试技术研发攻关，拓展车规级芯片应用场景，推动实现车规级芯片封测产品全覆盖。（牵头单位：市发展改革委、市科技局）</w:t>
      </w:r>
    </w:p>
    <w:p w14:paraId="4E2E5FE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方正仿宋_GBK" w:hAnsi="方正仿宋_GBK" w:eastAsia="方正仿宋_GBK" w:cs="方正仿宋_GBK"/>
          <w:sz w:val="32"/>
          <w:szCs w:val="32"/>
          <w:lang w:val="en-US" w:eastAsia="zh-CN"/>
        </w:rPr>
      </w:pPr>
      <w:r>
        <w:rPr>
          <w:rFonts w:hint="default" w:ascii="方正仿宋_GBK" w:hAnsi="方正仿宋_GBK" w:eastAsia="方正仿宋_GBK" w:cs="方正仿宋_GBK"/>
          <w:sz w:val="32"/>
          <w:szCs w:val="32"/>
          <w:lang w:val="en-US" w:eastAsia="zh-CN"/>
        </w:rPr>
        <w:t>4.高水平编制江南航天城空间规划和产业发展规划，组建江南航天城投资平台公司，开工建设星河动力二期、星移联信智能星座、商业航天会展中心等一批重点项目，发射“智神星一号”，积极申创商业航天研究院。（牵头单位：市工业和信息化局、市科技局）</w:t>
      </w:r>
    </w:p>
    <w:p w14:paraId="363F5DA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方正仿宋_GBK" w:hAnsi="方正仿宋_GBK" w:eastAsia="方正仿宋_GBK" w:cs="方正仿宋_GBK"/>
          <w:sz w:val="32"/>
          <w:szCs w:val="32"/>
          <w:lang w:val="en-US" w:eastAsia="zh-CN"/>
        </w:rPr>
      </w:pPr>
      <w:r>
        <w:rPr>
          <w:rFonts w:hint="default" w:ascii="方正仿宋_GBK" w:hAnsi="方正仿宋_GBK" w:eastAsia="方正仿宋_GBK" w:cs="方正仿宋_GBK"/>
          <w:sz w:val="32"/>
          <w:szCs w:val="32"/>
          <w:lang w:val="en-US" w:eastAsia="zh-CN"/>
        </w:rPr>
        <w:t>5.编制全市低空经济产业规划，积极引进低空飞行器整机和零部件研发制造企业，加快推进青阳、石台、东至通用机场选址审批，完善起降点、北斗地面站等配套设施，拓展“低空+旅游”场景应用，谋划“市区—九华山—牯牛降”环三角低空短途旅游运输航线。（牵头单位：市交通运输局、市文化和旅游局、市发展改革委）</w:t>
      </w:r>
    </w:p>
    <w:p w14:paraId="6B507D1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方正仿宋_GBK" w:hAnsi="方正仿宋_GBK" w:eastAsia="方正仿宋_GBK" w:cs="方正仿宋_GBK"/>
          <w:sz w:val="32"/>
          <w:szCs w:val="32"/>
          <w:lang w:val="en-US" w:eastAsia="zh-CN"/>
        </w:rPr>
      </w:pPr>
      <w:r>
        <w:rPr>
          <w:rFonts w:hint="default" w:ascii="方正仿宋_GBK" w:hAnsi="方正仿宋_GBK" w:eastAsia="方正仿宋_GBK" w:cs="方正仿宋_GBK"/>
          <w:sz w:val="32"/>
          <w:szCs w:val="32"/>
          <w:lang w:val="en-US" w:eastAsia="zh-CN"/>
        </w:rPr>
        <w:t>6.大力推进“人工智能+”行动，加快制造业数字化转型，强化智能制造典型示范，新增行业型和专业型工业互联网平台2个以上，推进中小企业“上云用数赋智”，新增省级智能工厂和数字化车间6个以上，支持园区开展“一区一业一样板”数字化转型，新增数字化改造示范园区1个。（牵头单位：市工业和信息化局）</w:t>
      </w:r>
    </w:p>
    <w:p w14:paraId="7AC2EF2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方正仿宋_GBK" w:hAnsi="方正仿宋_GBK" w:eastAsia="方正仿宋_GBK" w:cs="方正仿宋_GBK"/>
          <w:sz w:val="32"/>
          <w:szCs w:val="32"/>
          <w:lang w:val="en-US" w:eastAsia="zh-CN"/>
        </w:rPr>
      </w:pPr>
      <w:r>
        <w:rPr>
          <w:rFonts w:hint="default" w:ascii="方正仿宋_GBK" w:hAnsi="方正仿宋_GBK" w:eastAsia="方正仿宋_GBK" w:cs="方正仿宋_GBK"/>
          <w:sz w:val="32"/>
          <w:szCs w:val="32"/>
          <w:lang w:val="en-US" w:eastAsia="zh-CN"/>
        </w:rPr>
        <w:t>7.深化G60科创走廊池州（上海）科创中心双向赋能作用，建立人才需求和技术需求资源库，与长三角知名高校院所、技术转移机构、商协会建立合作关系，</w:t>
      </w:r>
      <w:r>
        <w:rPr>
          <w:rFonts w:hint="eastAsia" w:ascii="方正仿宋_GBK" w:hAnsi="方正仿宋_GBK" w:eastAsia="方正仿宋_GBK" w:cs="方正仿宋_GBK"/>
          <w:sz w:val="32"/>
          <w:szCs w:val="32"/>
          <w:lang w:val="en-US" w:eastAsia="zh-CN"/>
        </w:rPr>
        <w:t>新</w:t>
      </w:r>
      <w:r>
        <w:rPr>
          <w:rFonts w:hint="default" w:ascii="方正仿宋_GBK" w:hAnsi="方正仿宋_GBK" w:eastAsia="方正仿宋_GBK" w:cs="方正仿宋_GBK"/>
          <w:sz w:val="32"/>
          <w:szCs w:val="32"/>
          <w:lang w:val="en-US" w:eastAsia="zh-CN"/>
        </w:rPr>
        <w:t>落地产业化项目10个、引荐各类人才100人以上。（牵头单位：市科技局、市委人才工作局、市投资促进局、市政府驻沪办）</w:t>
      </w:r>
    </w:p>
    <w:p w14:paraId="25C3D8E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方正仿宋_GBK" w:hAnsi="方正仿宋_GBK" w:eastAsia="方正仿宋_GBK" w:cs="方正仿宋_GBK"/>
          <w:sz w:val="32"/>
          <w:szCs w:val="32"/>
          <w:lang w:val="en-US" w:eastAsia="zh-CN"/>
        </w:rPr>
      </w:pPr>
      <w:r>
        <w:rPr>
          <w:rFonts w:hint="default" w:ascii="方正仿宋_GBK" w:hAnsi="方正仿宋_GBK" w:eastAsia="方正仿宋_GBK" w:cs="方正仿宋_GBK"/>
          <w:sz w:val="32"/>
          <w:szCs w:val="32"/>
          <w:lang w:val="en-US" w:eastAsia="zh-CN"/>
        </w:rPr>
        <w:t>8.迭代升级“万马奔池”人才计划，加快池州“人才港”建设，充分发挥高校引才工作站、长三角人才一体化发展城市联盟等平台作用，持续举办“人才池州行”活动，邀请长三角地区高层次人才参加产才对接活动。（牵头单位：市委人才工作局）</w:t>
      </w:r>
    </w:p>
    <w:p w14:paraId="53CC78C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方正仿宋_GBK" w:hAnsi="方正仿宋_GBK" w:eastAsia="方正仿宋_GBK" w:cs="方正仿宋_GBK"/>
          <w:sz w:val="32"/>
          <w:szCs w:val="32"/>
          <w:lang w:val="en-US" w:eastAsia="zh-CN"/>
        </w:rPr>
      </w:pPr>
      <w:r>
        <w:rPr>
          <w:rFonts w:hint="default" w:ascii="方正仿宋_GBK" w:hAnsi="方正仿宋_GBK" w:eastAsia="方正仿宋_GBK" w:cs="方正仿宋_GBK"/>
          <w:sz w:val="32"/>
          <w:szCs w:val="32"/>
          <w:lang w:val="en-US" w:eastAsia="zh-CN"/>
        </w:rPr>
        <w:t>9.</w:t>
      </w:r>
      <w:r>
        <w:rPr>
          <w:rFonts w:hint="eastAsia" w:ascii="方正仿宋_GBK" w:hAnsi="方正仿宋_GBK" w:eastAsia="方正仿宋_GBK" w:cs="方正仿宋_GBK"/>
          <w:sz w:val="32"/>
          <w:szCs w:val="32"/>
          <w:lang w:val="en-US" w:eastAsia="zh-CN"/>
        </w:rPr>
        <w:t>借鉴</w:t>
      </w:r>
      <w:r>
        <w:rPr>
          <w:rFonts w:hint="default" w:ascii="方正仿宋_GBK" w:hAnsi="方正仿宋_GBK" w:eastAsia="方正仿宋_GBK" w:cs="方正仿宋_GBK"/>
          <w:sz w:val="32"/>
          <w:szCs w:val="32"/>
          <w:lang w:val="en-US" w:eastAsia="zh-CN"/>
        </w:rPr>
        <w:t>杭州、珠海、合肥、芜湖等地场景招商创新经验，遴选新兴产业细分领域和未来产业潜力领域，差异化选择场景招商赛道，大力开展敲门招商，创新开展产业链招商、基金招商、以商招商，精准承接沪苏浙产业、资本、人才等要素转移。（牵头单位：市投资促进局）</w:t>
      </w:r>
    </w:p>
    <w:p w14:paraId="18A380F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t>二、加快完善一体化发展体制机制</w:t>
      </w:r>
    </w:p>
    <w:p w14:paraId="3D06C6B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方正仿宋_GBK" w:hAnsi="方正仿宋_GBK" w:eastAsia="方正仿宋_GBK" w:cs="方正仿宋_GBK"/>
          <w:sz w:val="32"/>
          <w:szCs w:val="32"/>
          <w:lang w:val="en-US" w:eastAsia="zh-CN"/>
        </w:rPr>
      </w:pPr>
      <w:r>
        <w:rPr>
          <w:rFonts w:hint="default" w:ascii="方正仿宋_GBK" w:hAnsi="方正仿宋_GBK" w:eastAsia="方正仿宋_GBK" w:cs="方正仿宋_GBK"/>
          <w:sz w:val="32"/>
          <w:szCs w:val="32"/>
          <w:lang w:val="en-US" w:eastAsia="zh-CN"/>
        </w:rPr>
        <w:t>10.建立与湖州市常态化对标学习机制，推深做实对标学习后半篇文章，不断提升学习成果转化质效。（牵头单位：市直相关单位）</w:t>
      </w:r>
    </w:p>
    <w:p w14:paraId="1837BCE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方正仿宋_GBK" w:hAnsi="方正仿宋_GBK" w:eastAsia="方正仿宋_GBK" w:cs="方正仿宋_GBK"/>
          <w:sz w:val="32"/>
          <w:szCs w:val="32"/>
          <w:lang w:val="en-US" w:eastAsia="zh-CN"/>
        </w:rPr>
      </w:pPr>
      <w:r>
        <w:rPr>
          <w:rFonts w:hint="default" w:ascii="方正仿宋_GBK" w:hAnsi="方正仿宋_GBK" w:eastAsia="方正仿宋_GBK" w:cs="方正仿宋_GBK"/>
          <w:sz w:val="32"/>
          <w:szCs w:val="32"/>
          <w:lang w:val="en-US" w:eastAsia="zh-CN"/>
        </w:rPr>
        <w:t>11.务实推进与上海长宁区友好市区合作，在教育、医疗、养老等公共服务领域深化交流合作。推动各县区、园区选准一个沪苏浙对标学习对象，建立“点对点”合作机制，确保取得一批实质性合作成果。（牵头单位：市发展改革委）</w:t>
      </w:r>
    </w:p>
    <w:p w14:paraId="7E81872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方正仿宋_GBK" w:hAnsi="方正仿宋_GBK" w:eastAsia="方正仿宋_GBK" w:cs="方正仿宋_GBK"/>
          <w:sz w:val="32"/>
          <w:szCs w:val="32"/>
          <w:lang w:val="en-US" w:eastAsia="zh-CN"/>
        </w:rPr>
      </w:pPr>
      <w:r>
        <w:rPr>
          <w:rFonts w:hint="default" w:ascii="方正仿宋_GBK" w:hAnsi="方正仿宋_GBK" w:eastAsia="方正仿宋_GBK" w:cs="方正仿宋_GBK"/>
          <w:sz w:val="32"/>
          <w:szCs w:val="32"/>
          <w:lang w:val="en-US" w:eastAsia="zh-CN"/>
        </w:rPr>
        <w:t>12.务实推进池州芜湖产业对接合作，围绕两地产业科技创新合作、优势产业供应链对接、新兴领域应用示范、数字领域交流合作、文化旅游产业协同等方面推动一批合作事项落地。（牵头单位：市发展改革委；配合单位：市直相关单位）</w:t>
      </w:r>
    </w:p>
    <w:p w14:paraId="3D9A235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方正仿宋_GBK" w:hAnsi="方正仿宋_GBK" w:eastAsia="方正仿宋_GBK" w:cs="方正仿宋_GBK"/>
          <w:sz w:val="32"/>
          <w:szCs w:val="32"/>
          <w:lang w:val="en-US" w:eastAsia="zh-CN"/>
        </w:rPr>
      </w:pPr>
      <w:r>
        <w:rPr>
          <w:rFonts w:hint="default" w:ascii="方正仿宋_GBK" w:hAnsi="方正仿宋_GBK" w:eastAsia="方正仿宋_GBK" w:cs="方正仿宋_GBK"/>
          <w:sz w:val="32"/>
          <w:szCs w:val="32"/>
          <w:lang w:val="en-US" w:eastAsia="zh-CN"/>
        </w:rPr>
        <w:t>13.推深做实池州安庆拥江发展合作事项，协同推进海口长江公铁大桥、望东长江公铁大桥等互联互通重大项目前期工作，支持大渡口发挥区位和特色农产品资源优势，提升农文旅产业链资源整合能力。（牵头单位：市发展改革委；配合单位：市直相关单位）</w:t>
      </w:r>
    </w:p>
    <w:p w14:paraId="42CC2CE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方正仿宋_GBK" w:hAnsi="方正仿宋_GBK" w:eastAsia="方正仿宋_GBK" w:cs="方正仿宋_GBK"/>
          <w:sz w:val="32"/>
          <w:szCs w:val="32"/>
          <w:lang w:val="en-US" w:eastAsia="zh-CN"/>
        </w:rPr>
      </w:pPr>
      <w:r>
        <w:rPr>
          <w:rFonts w:hint="default" w:ascii="方正仿宋_GBK" w:hAnsi="方正仿宋_GBK" w:eastAsia="方正仿宋_GBK" w:cs="方正仿宋_GBK"/>
          <w:sz w:val="32"/>
          <w:szCs w:val="32"/>
          <w:lang w:val="en-US" w:eastAsia="zh-CN"/>
        </w:rPr>
        <w:t>14.持续推动池州学院与南京信息工程大学深化合作，加强电子信息等4个专业硕士学位授权点的学科带头人队伍建设。（牵头单位：市教育和体育局，池州学院）</w:t>
      </w:r>
    </w:p>
    <w:p w14:paraId="0BC0322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方正仿宋_GBK" w:hAnsi="方正仿宋_GBK" w:eastAsia="方正仿宋_GBK" w:cs="方正仿宋_GBK"/>
          <w:sz w:val="32"/>
          <w:szCs w:val="32"/>
          <w:lang w:val="en-US" w:eastAsia="zh-CN"/>
        </w:rPr>
      </w:pPr>
      <w:r>
        <w:rPr>
          <w:rFonts w:hint="default" w:ascii="方正仿宋_GBK" w:hAnsi="方正仿宋_GBK" w:eastAsia="方正仿宋_GBK" w:cs="方正仿宋_GBK"/>
          <w:sz w:val="32"/>
          <w:szCs w:val="32"/>
          <w:lang w:val="en-US" w:eastAsia="zh-CN"/>
        </w:rPr>
        <w:t>15.深化长三角医疗卫生协作，加强与上海瑞金、华山、中山等长三角名院的医疗协作，设立名医工作室，邀请知名专家来池坐诊、远程指导等，柔性引进名医名家。谋划推进上海交通大学附属瑞金医院与市人民医院共建瑞金医院皖南分院（池州分院）</w:t>
      </w:r>
      <w:r>
        <w:rPr>
          <w:rFonts w:hint="eastAsia" w:ascii="方正仿宋_GBK" w:hAnsi="方正仿宋_GBK" w:eastAsia="方正仿宋_GBK" w:cs="方正仿宋_GBK"/>
          <w:sz w:val="32"/>
          <w:szCs w:val="32"/>
          <w:lang w:val="en-US" w:eastAsia="zh-CN"/>
        </w:rPr>
        <w:t>。</w:t>
      </w:r>
      <w:r>
        <w:rPr>
          <w:rFonts w:hint="default" w:ascii="方正仿宋_GBK" w:hAnsi="方正仿宋_GBK" w:eastAsia="方正仿宋_GBK" w:cs="方正仿宋_GBK"/>
          <w:sz w:val="32"/>
          <w:szCs w:val="32"/>
          <w:lang w:val="en-US" w:eastAsia="zh-CN"/>
        </w:rPr>
        <w:t>（牵头单位：市卫生健康委、市政府驻沪办）</w:t>
      </w:r>
    </w:p>
    <w:p w14:paraId="1CF3FAD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方正仿宋_GBK" w:hAnsi="方正仿宋_GBK" w:eastAsia="方正仿宋_GBK" w:cs="方正仿宋_GBK"/>
          <w:sz w:val="32"/>
          <w:szCs w:val="32"/>
          <w:lang w:val="en-US" w:eastAsia="zh-CN"/>
        </w:rPr>
      </w:pPr>
      <w:r>
        <w:rPr>
          <w:rFonts w:hint="default" w:ascii="方正仿宋_GBK" w:hAnsi="方正仿宋_GBK" w:eastAsia="方正仿宋_GBK" w:cs="方正仿宋_GBK"/>
          <w:sz w:val="32"/>
          <w:szCs w:val="32"/>
          <w:lang w:val="en-US" w:eastAsia="zh-CN"/>
        </w:rPr>
        <w:t>16.加大平天湖“天路”宣传推介力度，推进牯牛降景区创建5A级景区，加快建设皖南乡村休闲度假区、省级池州傩文化生态保护区、华龙洞国家遗址公园，推动更多特色文旅精品标识纳入长三角“七名”旅游线路。（牵头单位：市文化和旅游局）</w:t>
      </w:r>
    </w:p>
    <w:p w14:paraId="2A3CD73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方正仿宋_GBK" w:hAnsi="方正仿宋_GBK" w:eastAsia="方正仿宋_GBK" w:cs="方正仿宋_GBK"/>
          <w:sz w:val="32"/>
          <w:szCs w:val="32"/>
          <w:lang w:val="en-US" w:eastAsia="zh-CN"/>
        </w:rPr>
      </w:pPr>
      <w:r>
        <w:rPr>
          <w:rFonts w:hint="default" w:ascii="方正仿宋_GBK" w:hAnsi="方正仿宋_GBK" w:eastAsia="方正仿宋_GBK" w:cs="方正仿宋_GBK"/>
          <w:sz w:val="32"/>
          <w:szCs w:val="32"/>
          <w:lang w:val="en-US" w:eastAsia="zh-CN"/>
        </w:rPr>
        <w:t>17.持续推进与江苏扬州、浙江宁波等长三角地市职工疗休养互认互送。组织参加第二届长三角康养产业“双招双引”对接会，争创长三角健康养老基地1家以上。（牵头单位：市民政局、市总工会、市发展改革委）</w:t>
      </w:r>
    </w:p>
    <w:p w14:paraId="342EE85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方正仿宋_GBK" w:hAnsi="方正仿宋_GBK" w:eastAsia="方正仿宋_GBK" w:cs="方正仿宋_GBK"/>
          <w:sz w:val="32"/>
          <w:szCs w:val="32"/>
          <w:lang w:val="en-US" w:eastAsia="zh-CN"/>
        </w:rPr>
      </w:pPr>
      <w:r>
        <w:rPr>
          <w:rFonts w:hint="default" w:ascii="方正仿宋_GBK" w:hAnsi="方正仿宋_GBK" w:eastAsia="方正仿宋_GBK" w:cs="方正仿宋_GBK"/>
          <w:sz w:val="32"/>
          <w:szCs w:val="32"/>
          <w:lang w:val="en-US" w:eastAsia="zh-CN"/>
        </w:rPr>
        <w:t>18.积极对接国铁上海局，合作开展城市形象和文旅品牌宣传，路地协同推出“高铁+文旅”产品，加密开通至长三角地区高铁班次，谋划打造银发旅游列车，着力扩大文旅消费市场增量。（牵头单位：市发展改革委、市文化和旅游局）</w:t>
      </w:r>
    </w:p>
    <w:p w14:paraId="290C3D3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方正仿宋_GBK" w:hAnsi="方正仿宋_GBK" w:eastAsia="方正仿宋_GBK" w:cs="方正仿宋_GBK"/>
          <w:sz w:val="32"/>
          <w:szCs w:val="32"/>
          <w:lang w:val="en-US" w:eastAsia="zh-CN"/>
        </w:rPr>
      </w:pPr>
      <w:r>
        <w:rPr>
          <w:rFonts w:hint="default" w:ascii="方正仿宋_GBK" w:hAnsi="方正仿宋_GBK" w:eastAsia="方正仿宋_GBK" w:cs="方正仿宋_GBK"/>
          <w:sz w:val="32"/>
          <w:szCs w:val="32"/>
          <w:lang w:val="en-US" w:eastAsia="zh-CN"/>
        </w:rPr>
        <w:t>19.拓展“社保卡安徽文旅一卡通”应用场景，选取精品旅游景区、文化场馆、餐饮酒店等开展持社保卡减免优惠，组织赴沪苏浙开展宣传推介。落实门诊慢特病跨省费用直接结算病种扩围。（牵头单位：市文化和旅游局、市人力资源社会保障局、市医疗保障局）</w:t>
      </w:r>
    </w:p>
    <w:p w14:paraId="13A616D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方正仿宋_GBK" w:hAnsi="方正仿宋_GBK" w:eastAsia="方正仿宋_GBK" w:cs="方正仿宋_GBK"/>
          <w:sz w:val="32"/>
          <w:szCs w:val="32"/>
          <w:lang w:val="en-US" w:eastAsia="zh-CN"/>
        </w:rPr>
      </w:pPr>
      <w:r>
        <w:rPr>
          <w:rFonts w:hint="default" w:ascii="方正仿宋_GBK" w:hAnsi="方正仿宋_GBK" w:eastAsia="方正仿宋_GBK" w:cs="方正仿宋_GBK"/>
          <w:sz w:val="32"/>
          <w:szCs w:val="32"/>
          <w:lang w:val="en-US" w:eastAsia="zh-CN"/>
        </w:rPr>
        <w:t>20.优化升级长三角“一网通办”，对标对表长三角先发地区，制订《创优营商环境对标提升任务清单（2025版）》，扎实推进“五免之城”创建，启动“五免助手”数字化场景（一期）项目，全面推进“无证明城市”建设，推行包容审慎监管规范行政执法。（牵头单位：市营商环境办、市司法局</w:t>
      </w:r>
      <w:r>
        <w:rPr>
          <w:rFonts w:hint="eastAsia" w:ascii="方正仿宋_GBK" w:hAnsi="方正仿宋_GBK" w:eastAsia="方正仿宋_GBK" w:cs="方正仿宋_GBK"/>
          <w:sz w:val="32"/>
          <w:szCs w:val="32"/>
          <w:lang w:val="en-US" w:eastAsia="zh-CN"/>
        </w:rPr>
        <w:t>、</w:t>
      </w:r>
      <w:r>
        <w:rPr>
          <w:rFonts w:hint="default" w:ascii="方正仿宋_GBK" w:hAnsi="方正仿宋_GBK" w:eastAsia="方正仿宋_GBK" w:cs="方正仿宋_GBK"/>
          <w:sz w:val="32"/>
          <w:szCs w:val="32"/>
          <w:lang w:val="en-US" w:eastAsia="zh-CN"/>
        </w:rPr>
        <w:t>市数据资源局）</w:t>
      </w:r>
    </w:p>
    <w:p w14:paraId="2B89FED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方正仿宋_GBK" w:hAnsi="方正仿宋_GBK" w:eastAsia="方正仿宋_GBK" w:cs="方正仿宋_GBK"/>
          <w:sz w:val="32"/>
          <w:szCs w:val="32"/>
          <w:lang w:val="en-US" w:eastAsia="zh-CN"/>
        </w:rPr>
      </w:pPr>
      <w:r>
        <w:rPr>
          <w:rFonts w:hint="default" w:ascii="方正仿宋_GBK" w:hAnsi="方正仿宋_GBK" w:eastAsia="方正仿宋_GBK" w:cs="方正仿宋_GBK"/>
          <w:sz w:val="32"/>
          <w:szCs w:val="32"/>
          <w:lang w:val="en-US" w:eastAsia="zh-CN"/>
        </w:rPr>
        <w:t>21.举办江淮城市区域信用联盟联席会议，加快建设市综合信用评价系统，推动市级公共信用信息共享机制，拓展“信用+调解”模式场景应用。（牵头单位：市发展改革委）</w:t>
      </w:r>
    </w:p>
    <w:p w14:paraId="30EAEE7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黑体" w:hAnsi="黑体" w:eastAsia="黑体" w:cs="黑体"/>
          <w:sz w:val="32"/>
          <w:szCs w:val="32"/>
        </w:rPr>
      </w:pP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三、积极推进高层次协同开放</w:t>
      </w:r>
    </w:p>
    <w:p w14:paraId="195A807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方正仿宋_GBK" w:hAnsi="方正仿宋_GBK" w:eastAsia="方正仿宋_GBK" w:cs="方正仿宋_GBK"/>
          <w:sz w:val="32"/>
          <w:szCs w:val="32"/>
          <w:lang w:val="en-US" w:eastAsia="zh-CN"/>
        </w:rPr>
      </w:pPr>
      <w:r>
        <w:rPr>
          <w:rFonts w:hint="default" w:ascii="方正仿宋_GBK" w:hAnsi="方正仿宋_GBK" w:eastAsia="方正仿宋_GBK" w:cs="方正仿宋_GBK"/>
          <w:sz w:val="32"/>
          <w:szCs w:val="32"/>
          <w:lang w:val="en-US" w:eastAsia="zh-CN"/>
        </w:rPr>
        <w:t>22.主动对接虹桥国际开放枢纽，积极承接中国国际进口博览会溢出效应，争取承办进博会分会场、招商路演、专场推介等活动，深入对接长三角创新链产业链供应链，持续举办非金属矿科技和产业论坛、地标美食产业大会等一批重点会展，做优做强池州品牌。（牵头单位：市商务局）</w:t>
      </w:r>
    </w:p>
    <w:p w14:paraId="3BE245B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方正仿宋_GBK" w:hAnsi="方正仿宋_GBK" w:eastAsia="方正仿宋_GBK" w:cs="方正仿宋_GBK"/>
          <w:sz w:val="32"/>
          <w:szCs w:val="32"/>
          <w:lang w:val="en-US" w:eastAsia="zh-CN"/>
        </w:rPr>
      </w:pPr>
      <w:r>
        <w:rPr>
          <w:rFonts w:hint="default" w:ascii="方正仿宋_GBK" w:hAnsi="方正仿宋_GBK" w:eastAsia="方正仿宋_GBK" w:cs="方正仿宋_GBK"/>
          <w:sz w:val="32"/>
          <w:szCs w:val="32"/>
          <w:lang w:val="en-US" w:eastAsia="zh-CN"/>
        </w:rPr>
        <w:t>23.制定池州自贸联动创新区建设年度工作清单，加强与沪苏浙自贸试验区政策联动、贸易联通、产业协同，持续做好33条对接国际高标准推进制度型开放试点措施复制推广，结合白银加工等特色贸易业务开展差异化自主改革探索，争创一批典型制度经验。（牵头单位：市商务局）</w:t>
      </w:r>
    </w:p>
    <w:p w14:paraId="77306FF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方正仿宋_GBK" w:hAnsi="方正仿宋_GBK" w:eastAsia="方正仿宋_GBK" w:cs="方正仿宋_GBK"/>
          <w:sz w:val="32"/>
          <w:szCs w:val="32"/>
          <w:lang w:val="en-US" w:eastAsia="zh-CN"/>
        </w:rPr>
      </w:pPr>
      <w:r>
        <w:rPr>
          <w:rFonts w:hint="default" w:ascii="方正仿宋_GBK" w:hAnsi="方正仿宋_GBK" w:eastAsia="方正仿宋_GBK" w:cs="方正仿宋_GBK"/>
          <w:sz w:val="32"/>
          <w:szCs w:val="32"/>
          <w:lang w:val="en-US" w:eastAsia="zh-CN"/>
        </w:rPr>
        <w:t>24.开工建设合池铁路，推动长九池高铁、池宣高铁纳入国家新一轮中长期铁路网规划。加快建设宁枞高速、东鄱高速池州段，推动宣东高速池州段、G236平天湖隧道及连接线工程开工建设。（牵头单位：市发展改革委、市交通运输局）</w:t>
      </w:r>
    </w:p>
    <w:p w14:paraId="2D6BBC5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方正仿宋_GBK" w:hAnsi="方正仿宋_GBK" w:eastAsia="方正仿宋_GBK" w:cs="方正仿宋_GBK"/>
          <w:sz w:val="32"/>
          <w:szCs w:val="32"/>
          <w:lang w:val="en-US" w:eastAsia="zh-CN"/>
        </w:rPr>
      </w:pPr>
      <w:r>
        <w:rPr>
          <w:rFonts w:hint="default" w:ascii="方正仿宋_GBK" w:hAnsi="方正仿宋_GBK" w:eastAsia="方正仿宋_GBK" w:cs="方正仿宋_GBK"/>
          <w:sz w:val="32"/>
          <w:szCs w:val="32"/>
          <w:lang w:val="en-US" w:eastAsia="zh-CN"/>
        </w:rPr>
        <w:t>25.深化与长三角航运创新联盟成员单位合作，积极拓展池州港与上海港、南京港等港口集装箱运输业务合作，大力推进口岸直运。持续推动池州港扩大开放，推动乌沙港区公用码头工程建成投产，加快推进江口港区四期前期工作，高效运营港口物流信息综合平台。（牵头单位：市商务局、市发展改革委）</w:t>
      </w:r>
    </w:p>
    <w:p w14:paraId="72422AA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方正仿宋_GBK" w:hAnsi="方正仿宋_GBK" w:eastAsia="方正仿宋_GBK" w:cs="方正仿宋_GBK"/>
          <w:sz w:val="32"/>
          <w:szCs w:val="32"/>
          <w:lang w:val="en-US" w:eastAsia="zh-CN"/>
        </w:rPr>
      </w:pPr>
      <w:r>
        <w:rPr>
          <w:rFonts w:hint="default" w:ascii="方正仿宋_GBK" w:hAnsi="方正仿宋_GBK" w:eastAsia="方正仿宋_GBK" w:cs="方正仿宋_GBK"/>
          <w:sz w:val="32"/>
          <w:szCs w:val="32"/>
          <w:lang w:val="en-US" w:eastAsia="zh-CN"/>
        </w:rPr>
        <w:t>26.加强与宁波舟山港对接，常态化运行海铁联运联合班列，推进与黄山市、宣城市共建共享海铁联运通道，吸引周边地区企业来池报关出口。（牵头单位：市商务局）</w:t>
      </w:r>
    </w:p>
    <w:p w14:paraId="38409BE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方正仿宋_GBK" w:hAnsi="方正仿宋_GBK" w:eastAsia="方正仿宋_GBK" w:cs="方正仿宋_GBK"/>
          <w:sz w:val="32"/>
          <w:szCs w:val="32"/>
          <w:lang w:val="en-US" w:eastAsia="zh-CN"/>
        </w:rPr>
      </w:pPr>
      <w:r>
        <w:rPr>
          <w:rFonts w:hint="default" w:ascii="方正仿宋_GBK" w:hAnsi="方正仿宋_GBK" w:eastAsia="方正仿宋_GBK" w:cs="方正仿宋_GBK"/>
          <w:sz w:val="32"/>
          <w:szCs w:val="32"/>
          <w:lang w:val="en-US" w:eastAsia="zh-CN"/>
        </w:rPr>
        <w:t>27.学习芜湖塔桥多式联运基地，加快贵池区矿产品运输专用线、池州江口港区铁路专运线等项目建设，开工石台非金属矿铁路专用线项目，打造区域多式联运物流集散中心。（牵头单位：市发展改革委）</w:t>
      </w:r>
    </w:p>
    <w:p w14:paraId="6977879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方正仿宋_GBK" w:hAnsi="方正仿宋_GBK" w:eastAsia="方正仿宋_GBK" w:cs="方正仿宋_GBK"/>
          <w:sz w:val="32"/>
          <w:szCs w:val="32"/>
          <w:lang w:val="en-US" w:eastAsia="zh-CN"/>
        </w:rPr>
      </w:pPr>
      <w:r>
        <w:rPr>
          <w:rFonts w:hint="default" w:ascii="方正仿宋_GBK" w:hAnsi="方正仿宋_GBK" w:eastAsia="方正仿宋_GBK" w:cs="方正仿宋_GBK"/>
          <w:sz w:val="32"/>
          <w:szCs w:val="32"/>
          <w:lang w:val="en-US" w:eastAsia="zh-CN"/>
        </w:rPr>
        <w:t>28.高质量推进中韩国际合作半导体产业园建设，加强与韩中文化协会、大韩贸易振兴公社等机构合作，常态化举办“韩企（日企）池州行”经贸交流活动。持续释放九华山与韩国历史溯源效应，完善中韩国际会客厅、韩国生活馆等设施，加强文化旅游、健康养老等领域友好合作。（牵头单位：市商务局）</w:t>
      </w:r>
    </w:p>
    <w:p w14:paraId="3761188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方正仿宋_GBK" w:hAnsi="方正仿宋_GBK" w:eastAsia="方正仿宋_GBK" w:cs="方正仿宋_GBK"/>
          <w:sz w:val="32"/>
          <w:szCs w:val="32"/>
          <w:lang w:val="en-US" w:eastAsia="zh-CN"/>
        </w:rPr>
      </w:pPr>
      <w:r>
        <w:rPr>
          <w:rFonts w:hint="default" w:ascii="方正仿宋_GBK" w:hAnsi="方正仿宋_GBK" w:eastAsia="方正仿宋_GBK" w:cs="方正仿宋_GBK"/>
          <w:sz w:val="32"/>
          <w:szCs w:val="32"/>
          <w:lang w:val="en-US" w:eastAsia="zh-CN"/>
        </w:rPr>
        <w:t>29.加快平天湖综合物流园、京东云仓等项目建设，提升</w:t>
      </w:r>
      <w:bookmarkStart w:id="0" w:name="OLE_LINK4"/>
      <w:r>
        <w:rPr>
          <w:rFonts w:hint="default" w:ascii="方正仿宋_GBK" w:hAnsi="方正仿宋_GBK" w:eastAsia="方正仿宋_GBK" w:cs="方正仿宋_GBK"/>
          <w:sz w:val="32"/>
          <w:szCs w:val="32"/>
          <w:lang w:val="en-US" w:eastAsia="zh-CN"/>
        </w:rPr>
        <w:t>皖江江南保税物流中心（B型）</w:t>
      </w:r>
      <w:bookmarkEnd w:id="0"/>
      <w:r>
        <w:rPr>
          <w:rFonts w:hint="default" w:ascii="方正仿宋_GBK" w:hAnsi="方正仿宋_GBK" w:eastAsia="方正仿宋_GBK" w:cs="方正仿宋_GBK"/>
          <w:sz w:val="32"/>
          <w:szCs w:val="32"/>
          <w:lang w:val="en-US" w:eastAsia="zh-CN"/>
        </w:rPr>
        <w:t>运营质效，加大长三角地区加工贸易、支付结算、专业物流经营企业招引力度，推进跨境电子商务产业园区建设，加强公共海外仓服务对接服务，助力跨境电商中小微企业“抱团出海”。（牵头单位：市商务局）</w:t>
      </w:r>
    </w:p>
    <w:p w14:paraId="58D27AB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方正仿宋_GBK" w:hAnsi="方正仿宋_GBK" w:eastAsia="方正仿宋_GBK" w:cs="方正仿宋_GBK"/>
          <w:sz w:val="32"/>
          <w:szCs w:val="32"/>
          <w:lang w:val="en-US" w:eastAsia="zh-CN"/>
        </w:rPr>
      </w:pPr>
      <w:r>
        <w:rPr>
          <w:rFonts w:hint="default" w:ascii="方正仿宋_GBK" w:hAnsi="方正仿宋_GBK" w:eastAsia="方正仿宋_GBK" w:cs="方正仿宋_GBK"/>
          <w:sz w:val="32"/>
          <w:szCs w:val="32"/>
          <w:lang w:val="en-US" w:eastAsia="zh-CN"/>
        </w:rPr>
        <w:t>30.充分发挥全省唯一长江</w:t>
      </w:r>
      <w:r>
        <w:rPr>
          <w:rFonts w:hint="eastAsia" w:ascii="方正仿宋_GBK" w:hAnsi="方正仿宋_GBK" w:eastAsia="方正仿宋_GBK" w:cs="方正仿宋_GBK"/>
          <w:sz w:val="32"/>
          <w:szCs w:val="32"/>
          <w:lang w:val="en-US" w:eastAsia="zh-CN"/>
        </w:rPr>
        <w:t>游</w:t>
      </w:r>
      <w:r>
        <w:rPr>
          <w:rFonts w:hint="default" w:ascii="方正仿宋_GBK" w:hAnsi="方正仿宋_GBK" w:eastAsia="方正仿宋_GBK" w:cs="方正仿宋_GBK"/>
          <w:sz w:val="32"/>
          <w:szCs w:val="32"/>
          <w:lang w:val="en-US" w:eastAsia="zh-CN"/>
        </w:rPr>
        <w:t>轮停靠点和涉外旅游码头优势，实施池州港旅游码头提升工程，提升靠泊服务能力，推动更多长江游轮访问池州港。支持九华山旅游码头升级为始发港，探索开通直航航线。（牵头单位：市交通运输局</w:t>
      </w:r>
      <w:r>
        <w:rPr>
          <w:rFonts w:hint="eastAsia" w:ascii="方正仿宋_GBK" w:hAnsi="方正仿宋_GBK" w:eastAsia="方正仿宋_GBK" w:cs="方正仿宋_GBK"/>
          <w:sz w:val="32"/>
          <w:szCs w:val="32"/>
          <w:lang w:val="en-US" w:eastAsia="zh-CN"/>
        </w:rPr>
        <w:t>、市文化和旅游局</w:t>
      </w:r>
      <w:r>
        <w:rPr>
          <w:rFonts w:hint="default" w:ascii="方正仿宋_GBK" w:hAnsi="方正仿宋_GBK" w:eastAsia="方正仿宋_GBK" w:cs="方正仿宋_GBK"/>
          <w:sz w:val="32"/>
          <w:szCs w:val="32"/>
          <w:lang w:val="en-US" w:eastAsia="zh-CN"/>
        </w:rPr>
        <w:t>）</w:t>
      </w:r>
    </w:p>
    <w:p w14:paraId="3712986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黑体" w:cs="Times New Roman"/>
          <w:b w:val="0"/>
          <w:bCs w:val="0"/>
          <w:sz w:val="32"/>
          <w:szCs w:val="32"/>
          <w:lang w:eastAsia="zh-CN"/>
        </w:rPr>
      </w:pPr>
      <w:r>
        <w:rPr>
          <w:rFonts w:hint="default" w:ascii="Times New Roman" w:hAnsi="Times New Roman" w:eastAsia="黑体" w:cs="Times New Roman"/>
          <w:b w:val="0"/>
          <w:bCs w:val="0"/>
          <w:sz w:val="32"/>
          <w:szCs w:val="32"/>
          <w:lang w:eastAsia="zh-CN"/>
        </w:rPr>
        <w:t>四、加强生态环境共保联治</w:t>
      </w:r>
    </w:p>
    <w:p w14:paraId="1732F2C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方正仿宋_GBK" w:hAnsi="方正仿宋_GBK" w:eastAsia="方正仿宋_GBK" w:cs="方正仿宋_GBK"/>
          <w:sz w:val="32"/>
          <w:szCs w:val="32"/>
          <w:lang w:val="en-US" w:eastAsia="zh-CN"/>
        </w:rPr>
      </w:pPr>
      <w:r>
        <w:rPr>
          <w:rFonts w:hint="default" w:ascii="方正仿宋_GBK" w:hAnsi="方正仿宋_GBK" w:eastAsia="方正仿宋_GBK" w:cs="方正仿宋_GBK"/>
          <w:sz w:val="32"/>
          <w:szCs w:val="32"/>
          <w:lang w:val="en-US" w:eastAsia="zh-CN"/>
        </w:rPr>
        <w:t>31.进一步抓实抓好长江大保护工作三年行动计划，统筹硬投入和软建设，加强项目谋划编报，积极争取上级资金支持，补齐城市生活污水管网和工业园区水污染治理短板，巩固“厂网河湖”一体化治理成效，力争城市生活污水集中收集率达70%。（牵头单位：市发展改革委、市住房城乡建设局、市生态环境局）</w:t>
      </w:r>
    </w:p>
    <w:p w14:paraId="15F1C72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方正仿宋_GBK" w:hAnsi="方正仿宋_GBK" w:eastAsia="方正仿宋_GBK" w:cs="方正仿宋_GBK"/>
          <w:sz w:val="32"/>
          <w:szCs w:val="32"/>
          <w:lang w:val="en-US" w:eastAsia="zh-CN"/>
        </w:rPr>
      </w:pPr>
      <w:r>
        <w:rPr>
          <w:rFonts w:hint="default" w:ascii="方正仿宋_GBK" w:hAnsi="方正仿宋_GBK" w:eastAsia="方正仿宋_GBK" w:cs="方正仿宋_GBK"/>
          <w:sz w:val="32"/>
          <w:szCs w:val="32"/>
          <w:lang w:val="en-US" w:eastAsia="zh-CN"/>
        </w:rPr>
        <w:t>32.</w:t>
      </w:r>
      <w:r>
        <w:rPr>
          <w:rFonts w:hint="eastAsia" w:ascii="方正仿宋_GBK" w:hAnsi="方正仿宋_GBK" w:eastAsia="方正仿宋_GBK" w:cs="方正仿宋_GBK"/>
          <w:sz w:val="32"/>
          <w:szCs w:val="32"/>
          <w:lang w:val="en-US" w:eastAsia="zh-CN"/>
        </w:rPr>
        <w:t>借鉴</w:t>
      </w:r>
      <w:r>
        <w:rPr>
          <w:rFonts w:hint="default" w:ascii="方正仿宋_GBK" w:hAnsi="方正仿宋_GBK" w:eastAsia="方正仿宋_GBK" w:cs="方正仿宋_GBK"/>
          <w:sz w:val="32"/>
          <w:szCs w:val="32"/>
          <w:lang w:val="en-US" w:eastAsia="zh-CN"/>
        </w:rPr>
        <w:t>湖州市、丽水市、黄山市生态产品价值实现机制经验做法，探索打造GEP核算、农林生态、“绿色升金”银行等一批特色平台，提炼一批典型案例，探索建立符合我市实际、易于操作的生态产品价值实现机制, 创造条件争创国家生态产品价值实现机制试点。（牵头单位：市发展改革委）</w:t>
      </w:r>
    </w:p>
    <w:p w14:paraId="7090B7C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方正仿宋_GBK" w:hAnsi="方正仿宋_GBK" w:eastAsia="方正仿宋_GBK" w:cs="方正仿宋_GBK"/>
          <w:sz w:val="32"/>
          <w:szCs w:val="32"/>
          <w:lang w:val="en-US" w:eastAsia="zh-CN"/>
        </w:rPr>
      </w:pPr>
      <w:r>
        <w:rPr>
          <w:rFonts w:hint="default" w:ascii="方正仿宋_GBK" w:hAnsi="方正仿宋_GBK" w:eastAsia="方正仿宋_GBK" w:cs="方正仿宋_GBK"/>
          <w:sz w:val="32"/>
          <w:szCs w:val="32"/>
          <w:lang w:val="en-US" w:eastAsia="zh-CN"/>
        </w:rPr>
        <w:t>33.稳妥有序推进竹制品替代塑料制品，打造一批竹循环经济产业园，延展竹产业进化图谱，构建循环发展新模式，争创国家级“以竹代塑”应用推广示范基地。（牵头单位：市发展改革委、市林业局）</w:t>
      </w:r>
    </w:p>
    <w:p w14:paraId="28E8F12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方正仿宋_GBK" w:hAnsi="方正仿宋_GBK" w:eastAsia="方正仿宋_GBK" w:cs="方正仿宋_GBK"/>
          <w:sz w:val="32"/>
          <w:szCs w:val="32"/>
          <w:lang w:val="en-US" w:eastAsia="zh-CN"/>
        </w:rPr>
      </w:pPr>
      <w:r>
        <w:rPr>
          <w:rFonts w:hint="default" w:ascii="方正仿宋_GBK" w:hAnsi="方正仿宋_GBK" w:eastAsia="方正仿宋_GBK" w:cs="方正仿宋_GBK"/>
          <w:sz w:val="32"/>
          <w:szCs w:val="32"/>
          <w:lang w:val="en-US" w:eastAsia="zh-CN"/>
        </w:rPr>
        <w:t>34.有力有效管控高耗能项目，加强绿证与节能降碳政策衔接，全面实施重点用能单位化石能源消费预算管理，支持企业开展碳足迹核算，引导碳排放重点企业建立碳管理体系，平稳有序过渡到碳排放双控。（牵头单位：市发展改革委）</w:t>
      </w:r>
    </w:p>
    <w:p w14:paraId="2EEEBE2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方正仿宋_GBK" w:hAnsi="方正仿宋_GBK" w:eastAsia="方正仿宋_GBK" w:cs="方正仿宋_GBK"/>
          <w:sz w:val="32"/>
          <w:szCs w:val="32"/>
          <w:lang w:val="en-US" w:eastAsia="zh-CN"/>
        </w:rPr>
      </w:pPr>
      <w:r>
        <w:rPr>
          <w:rFonts w:hint="default" w:ascii="方正仿宋_GBK" w:hAnsi="方正仿宋_GBK" w:eastAsia="方正仿宋_GBK" w:cs="方正仿宋_GBK"/>
          <w:sz w:val="32"/>
          <w:szCs w:val="32"/>
          <w:lang w:val="en-US" w:eastAsia="zh-CN"/>
        </w:rPr>
        <w:t>35.全市域推进“无废城市”建设，推进将镁还原渣用于建材产品生产生料，将镁合金渣用于熔炼熔剂，投入运营中心城区建筑垃圾综合处置项目。协同推进长三角地区大气污染综合治理，扎实推进消除重污染天气攻坚行动。（牵头单位：市生态环境局、市城市管理局）</w:t>
      </w:r>
    </w:p>
    <w:p w14:paraId="1B17C04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方正仿宋_GBK" w:hAnsi="方正仿宋_GBK" w:eastAsia="方正仿宋_GBK" w:cs="方正仿宋_GBK"/>
          <w:sz w:val="32"/>
          <w:szCs w:val="32"/>
          <w:lang w:val="en-US" w:eastAsia="zh-CN"/>
        </w:rPr>
      </w:pPr>
      <w:r>
        <w:rPr>
          <w:rFonts w:hint="default" w:ascii="方正仿宋_GBK" w:hAnsi="方正仿宋_GBK" w:eastAsia="方正仿宋_GBK" w:cs="方正仿宋_GBK"/>
          <w:sz w:val="32"/>
          <w:szCs w:val="32"/>
          <w:lang w:val="en-US" w:eastAsia="zh-CN"/>
        </w:rPr>
        <w:t>36.一体化推进矿山综合整治、生态修复和绿色矿山创建提升，推进国家储备林建设，谋划推进升金湖生态环境导向开发模式（EOD）项目，加快建设皖南生态屏障。（牵头单位：市自然资源和规划局、市林业局）</w:t>
      </w:r>
    </w:p>
    <w:p w14:paraId="364343B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黑体" w:cs="Times New Roman"/>
          <w:b w:val="0"/>
          <w:bCs w:val="0"/>
          <w:sz w:val="32"/>
          <w:szCs w:val="32"/>
          <w:lang w:eastAsia="zh-CN"/>
        </w:rPr>
      </w:pPr>
      <w:r>
        <w:rPr>
          <w:rFonts w:hint="default" w:ascii="Times New Roman" w:hAnsi="Times New Roman" w:eastAsia="黑体" w:cs="Times New Roman"/>
          <w:b w:val="0"/>
          <w:bCs w:val="0"/>
          <w:sz w:val="32"/>
          <w:szCs w:val="32"/>
          <w:lang w:eastAsia="zh-CN"/>
        </w:rPr>
        <w:t>五、着力提升安全发展能力</w:t>
      </w:r>
    </w:p>
    <w:p w14:paraId="00CB119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方正仿宋_GBK" w:hAnsi="方正仿宋_GBK" w:eastAsia="方正仿宋_GBK" w:cs="方正仿宋_GBK"/>
          <w:sz w:val="32"/>
          <w:szCs w:val="32"/>
          <w:lang w:val="en-US" w:eastAsia="zh-CN"/>
        </w:rPr>
      </w:pPr>
      <w:r>
        <w:rPr>
          <w:rFonts w:hint="default" w:ascii="方正仿宋_GBK" w:hAnsi="方正仿宋_GBK" w:eastAsia="方正仿宋_GBK" w:cs="方正仿宋_GBK"/>
          <w:sz w:val="32"/>
          <w:szCs w:val="32"/>
          <w:lang w:val="en-US" w:eastAsia="zh-CN"/>
        </w:rPr>
        <w:t>37.积极借助深空探测实验室等战略科技力量赋能江南航天城，拓展第三代半导体、大尺寸晶圆制造等细分领域，有序推进“以镁代铝”，协同提升长三角产业链供应链安全水平。（牵头单位：市工业和信息化局、市科技局、市发展改革委）</w:t>
      </w:r>
    </w:p>
    <w:p w14:paraId="1AE0CD4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方正仿宋_GBK" w:hAnsi="方正仿宋_GBK" w:eastAsia="方正仿宋_GBK" w:cs="方正仿宋_GBK"/>
          <w:sz w:val="32"/>
          <w:szCs w:val="32"/>
          <w:lang w:val="en-US" w:eastAsia="zh-CN"/>
        </w:rPr>
      </w:pPr>
      <w:r>
        <w:rPr>
          <w:rFonts w:hint="default" w:ascii="方正仿宋_GBK" w:hAnsi="方正仿宋_GBK" w:eastAsia="方正仿宋_GBK" w:cs="方正仿宋_GBK"/>
          <w:sz w:val="32"/>
          <w:szCs w:val="32"/>
          <w:lang w:val="en-US" w:eastAsia="zh-CN"/>
        </w:rPr>
        <w:t>38.联合南京大学组建新能源产业研究院，大力推进零碳园区建设，积极推进与苏浙抽蓄需求合作，超前谋划全钒液流电池储能、绿氢绿氨制造基地、超特高压专线落点等一批能源改革创新支撑项目，加快打造长三角绿色储能示范基地。（牵头单位：市发展改革委）</w:t>
      </w:r>
    </w:p>
    <w:p w14:paraId="73EB3FB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方正仿宋_GBK" w:hAnsi="方正仿宋_GBK" w:eastAsia="方正仿宋_GBK" w:cs="方正仿宋_GBK"/>
          <w:sz w:val="32"/>
          <w:szCs w:val="32"/>
          <w:lang w:val="en-US" w:eastAsia="zh-CN"/>
        </w:rPr>
      </w:pPr>
      <w:r>
        <w:rPr>
          <w:rFonts w:hint="default" w:ascii="方正仿宋_GBK" w:hAnsi="方正仿宋_GBK" w:eastAsia="方正仿宋_GBK" w:cs="方正仿宋_GBK"/>
          <w:sz w:val="32"/>
          <w:szCs w:val="32"/>
          <w:lang w:val="en-US" w:eastAsia="zh-CN"/>
        </w:rPr>
        <w:t>39.用好“池出好味”区域公用品牌，重点围绕“九华黄精”</w:t>
      </w:r>
      <w:r>
        <w:rPr>
          <w:rFonts w:hint="eastAsia" w:ascii="方正仿宋_GBK" w:hAnsi="方正仿宋_GBK" w:eastAsia="方正仿宋_GBK" w:cs="方正仿宋_GBK"/>
          <w:sz w:val="32"/>
          <w:szCs w:val="32"/>
          <w:lang w:val="en-US" w:eastAsia="zh-CN"/>
        </w:rPr>
        <w:t>“池州鳜鱼”</w:t>
      </w:r>
      <w:r>
        <w:rPr>
          <w:rFonts w:hint="default" w:ascii="方正仿宋_GBK" w:hAnsi="方正仿宋_GBK" w:eastAsia="方正仿宋_GBK" w:cs="方正仿宋_GBK"/>
          <w:sz w:val="32"/>
          <w:szCs w:val="32"/>
          <w:lang w:val="en-US" w:eastAsia="zh-CN"/>
        </w:rPr>
        <w:t>“石台富硒茶”“东至云尖”“石台香芽”等特色产业，深入实施“一企一策”培育计划，打造一批长三角绿色农产品生产加工供应基地，面向长三角开展线上线下营销，讲好池州土特农产品故事，提升特色农产品品牌影响力和竞争力。（牵头单位：市农业农村局；配合单位：市市场监管局）</w:t>
      </w:r>
    </w:p>
    <w:p w14:paraId="1AADFC8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方正仿宋_GBK" w:hAnsi="方正仿宋_GBK" w:eastAsia="方正仿宋_GBK" w:cs="方正仿宋_GBK"/>
          <w:sz w:val="32"/>
          <w:szCs w:val="32"/>
          <w:lang w:val="en-US" w:eastAsia="zh-CN"/>
        </w:rPr>
      </w:pPr>
      <w:r>
        <w:rPr>
          <w:rFonts w:hint="default" w:ascii="方正仿宋_GBK" w:hAnsi="方正仿宋_GBK" w:eastAsia="方正仿宋_GBK" w:cs="方正仿宋_GBK"/>
          <w:sz w:val="32"/>
          <w:szCs w:val="32"/>
          <w:lang w:val="en-US" w:eastAsia="zh-CN"/>
        </w:rPr>
        <w:t>40.扎实开展“安全储粮三年攻坚行动”，优化政府储备粮布局，提升江淮粮仓建设质效，加强沪苏浙地区粮食异地代储合作，增强区域粮食安全协同保障能力。（牵头单位：市发展改革委）</w:t>
      </w:r>
    </w:p>
    <w:p w14:paraId="39E2AF9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方正仿宋_GBK" w:hAnsi="方正仿宋_GBK" w:eastAsia="方正仿宋_GBK" w:cs="方正仿宋_GBK"/>
          <w:sz w:val="32"/>
          <w:szCs w:val="32"/>
          <w:lang w:val="en-US" w:eastAsia="zh-CN"/>
        </w:rPr>
      </w:pPr>
      <w:r>
        <w:rPr>
          <w:rFonts w:hint="default" w:ascii="方正仿宋_GBK" w:hAnsi="方正仿宋_GBK" w:eastAsia="方正仿宋_GBK" w:cs="方正仿宋_GBK"/>
          <w:sz w:val="32"/>
          <w:szCs w:val="32"/>
          <w:lang w:val="en-US" w:eastAsia="zh-CN"/>
        </w:rPr>
        <w:t>41.建强数字城市运行管理中心，加快推进城区燃气管道老化更新改造，实施城市排水防涝综合提升工程，推进产城融合示范区“四线一廊”基础设施体系建设，</w:t>
      </w:r>
      <w:r>
        <w:rPr>
          <w:rFonts w:hint="eastAsia" w:ascii="方正仿宋_GBK" w:hAnsi="方正仿宋_GBK" w:eastAsia="方正仿宋_GBK" w:cs="方正仿宋_GBK"/>
          <w:sz w:val="32"/>
          <w:szCs w:val="32"/>
          <w:lang w:val="en-US" w:eastAsia="zh-CN"/>
        </w:rPr>
        <w:t>打造</w:t>
      </w:r>
      <w:r>
        <w:rPr>
          <w:rFonts w:hint="default" w:ascii="方正仿宋_GBK" w:hAnsi="方正仿宋_GBK" w:eastAsia="方正仿宋_GBK" w:cs="方正仿宋_GBK"/>
          <w:sz w:val="32"/>
          <w:szCs w:val="32"/>
          <w:lang w:val="en-US" w:eastAsia="zh-CN"/>
        </w:rPr>
        <w:t>智慧安全韧性城市。（牵头单位：市数据资源局、市住房城乡建设局）</w:t>
      </w:r>
    </w:p>
    <w:p w14:paraId="1759D13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lang w:eastAsia="zh-CN"/>
        </w:rPr>
        <w:t>六、</w:t>
      </w:r>
      <w:r>
        <w:rPr>
          <w:rFonts w:hint="default" w:ascii="Times New Roman" w:hAnsi="Times New Roman" w:eastAsia="黑体" w:cs="Times New Roman"/>
          <w:sz w:val="32"/>
          <w:szCs w:val="32"/>
        </w:rPr>
        <w:t>强化组织实施保障</w:t>
      </w:r>
    </w:p>
    <w:p w14:paraId="670C3EB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方正仿宋_GBK" w:hAnsi="方正仿宋_GBK" w:eastAsia="方正仿宋_GBK" w:cs="方正仿宋_GBK"/>
          <w:sz w:val="32"/>
          <w:szCs w:val="32"/>
          <w:lang w:val="en-US" w:eastAsia="zh-CN"/>
        </w:rPr>
      </w:pPr>
      <w:r>
        <w:rPr>
          <w:rFonts w:hint="default" w:ascii="方正仿宋_GBK" w:hAnsi="方正仿宋_GBK" w:eastAsia="方正仿宋_GBK" w:cs="方正仿宋_GBK"/>
          <w:sz w:val="32"/>
          <w:szCs w:val="32"/>
          <w:lang w:val="en-US" w:eastAsia="zh-CN"/>
        </w:rPr>
        <w:t>42.落实国家、省级推动长三角一体化发展的重大决策和工作部署，研究我市推动长三角一体化发展重点工作，持续抓好长三角年度工作要点跟踪落实，推动一批标志性成果落地。（牵头单位：市长三角办；配合单位：市推动长三角区域一体化发展领导小组成员单位）</w:t>
      </w:r>
    </w:p>
    <w:p w14:paraId="1C7C0D6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方正仿宋_GBK" w:hAnsi="方正仿宋_GBK" w:eastAsia="方正仿宋_GBK" w:cs="方正仿宋_GBK"/>
          <w:sz w:val="32"/>
          <w:szCs w:val="32"/>
          <w:lang w:val="en-US" w:eastAsia="zh-CN"/>
        </w:rPr>
      </w:pPr>
      <w:r>
        <w:rPr>
          <w:rFonts w:hint="default" w:ascii="方正仿宋_GBK" w:hAnsi="方正仿宋_GBK" w:eastAsia="方正仿宋_GBK" w:cs="方正仿宋_GBK"/>
          <w:sz w:val="32"/>
          <w:szCs w:val="32"/>
          <w:lang w:val="en-US" w:eastAsia="zh-CN"/>
        </w:rPr>
        <w:t>43.做好长三角一体化发展“十五五”重大平台、重大项目谋划储备，争取纳入国家、省级规划政策文件，征集梳理一批改革创新经验，争取纳入长三角一体化实践创新案例。（牵头单位：市长三角办；配合单位：市推动长三角区域一体化发展领导小组成员单位）</w:t>
      </w:r>
    </w:p>
    <w:p w14:paraId="5793CF3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方正仿宋_GBK" w:hAnsi="方正仿宋_GBK" w:eastAsia="方正仿宋_GBK" w:cs="方正仿宋_GBK"/>
          <w:sz w:val="32"/>
          <w:szCs w:val="32"/>
          <w:lang w:val="en-US" w:eastAsia="zh-CN"/>
        </w:rPr>
      </w:pPr>
      <w:r>
        <w:rPr>
          <w:rFonts w:hint="default" w:ascii="方正仿宋_GBK" w:hAnsi="方正仿宋_GBK" w:eastAsia="方正仿宋_GBK" w:cs="方正仿宋_GBK"/>
          <w:sz w:val="32"/>
          <w:szCs w:val="32"/>
          <w:lang w:val="en-US" w:eastAsia="zh-CN"/>
        </w:rPr>
        <w:t>44.持续落实与长三角一体化发展相适应的干部交流机制，继续选派干部赴沪苏浙等先发地区跟班学习，加强教育、医疗等专业领域人才“双向”交流合作。（牵头单位：市委组织部、市教育和体育局、市卫生健康委）</w:t>
      </w:r>
    </w:p>
    <w:p w14:paraId="1D89996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方正仿宋_GBK" w:hAnsi="方正仿宋_GBK" w:eastAsia="方正仿宋_GBK" w:cs="方正仿宋_GBK"/>
          <w:sz w:val="32"/>
          <w:szCs w:val="32"/>
          <w:lang w:val="en-US" w:eastAsia="zh-CN"/>
        </w:rPr>
      </w:pPr>
      <w:r>
        <w:rPr>
          <w:rFonts w:hint="default" w:ascii="方正仿宋_GBK" w:hAnsi="方正仿宋_GBK" w:eastAsia="方正仿宋_GBK" w:cs="方正仿宋_GBK"/>
          <w:sz w:val="32"/>
          <w:szCs w:val="32"/>
          <w:lang w:val="en-US" w:eastAsia="zh-CN"/>
        </w:rPr>
        <w:t>45.聚焦重要会议、重大事项、重大项目等时间节点，持续做好长三角一体化高质量发展宣传报道。（牵头单位：市委宣传部、市发展改革委、市传媒中心）</w:t>
      </w:r>
    </w:p>
    <w:p w14:paraId="1288E6C1"/>
    <w:sectPr>
      <w:pgSz w:w="11906" w:h="16838"/>
      <w:pgMar w:top="1304"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005BFB2-B65F-4872-BAEC-36A47D3ED34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7ABF69B6-C27C-4D42-9BDA-E1D739BA7C4D}"/>
  </w:font>
  <w:font w:name="方正小标宋简体">
    <w:panose1 w:val="02010600010101010101"/>
    <w:charset w:val="86"/>
    <w:family w:val="auto"/>
    <w:pitch w:val="default"/>
    <w:sig w:usb0="00000001" w:usb1="080E0000" w:usb2="00000000" w:usb3="00000000" w:csb0="00040000" w:csb1="00000000"/>
    <w:embedRegular r:id="rId3" w:fontKey="{F59CBF67-A410-413D-B147-37CC0CD0E28A}"/>
  </w:font>
  <w:font w:name="仿宋_GB2312">
    <w:panose1 w:val="02010609030101010101"/>
    <w:charset w:val="86"/>
    <w:family w:val="auto"/>
    <w:pitch w:val="default"/>
    <w:sig w:usb0="00000001" w:usb1="080E0000" w:usb2="00000000" w:usb3="00000000" w:csb0="00040000" w:csb1="00000000"/>
    <w:embedRegular r:id="rId4" w:fontKey="{F9A32324-2098-4D33-9387-7A1EC8BBAE84}"/>
  </w:font>
  <w:font w:name="方正仿宋_GBK">
    <w:panose1 w:val="03000509000000000000"/>
    <w:charset w:val="86"/>
    <w:family w:val="auto"/>
    <w:pitch w:val="default"/>
    <w:sig w:usb0="00000001" w:usb1="080E0000" w:usb2="00000000" w:usb3="00000000" w:csb0="00040000" w:csb1="00000000"/>
    <w:embedRegular r:id="rId5" w:fontKey="{D0BD454D-C3FD-41BD-AAD6-D25CCF2B9BF5}"/>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5564B7"/>
    <w:rsid w:val="045564B7"/>
    <w:rsid w:val="5A1231C6"/>
    <w:rsid w:val="714472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2"/>
    <w:basedOn w:val="1"/>
    <w:next w:val="1"/>
    <w:semiHidden/>
    <w:unhideWhenUsed/>
    <w:qFormat/>
    <w:uiPriority w:val="0"/>
    <w:pPr>
      <w:keepNext/>
      <w:keepLines/>
      <w:spacing w:before="260" w:beforeLines="0" w:beforeAutospacing="0" w:after="260" w:afterLines="0" w:afterAutospacing="0" w:line="360" w:lineRule="auto"/>
      <w:ind w:firstLine="0" w:firstLineChars="0"/>
      <w:jc w:val="center"/>
      <w:outlineLvl w:val="1"/>
    </w:pPr>
    <w:rPr>
      <w:rFonts w:ascii="Arial" w:hAnsi="Arial" w:eastAsia="方正小标宋简体" w:cs="Times New Roman"/>
      <w:b/>
      <w:sz w:val="44"/>
      <w:szCs w:val="22"/>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Body Text First Indent 2"/>
    <w:qFormat/>
    <w:uiPriority w:val="0"/>
    <w:pPr>
      <w:widowControl w:val="0"/>
      <w:spacing w:after="120"/>
      <w:ind w:left="420" w:leftChars="200" w:firstLine="420" w:firstLineChars="200"/>
      <w:jc w:val="both"/>
    </w:pPr>
    <w:rPr>
      <w:rFonts w:ascii="Calibri" w:hAnsi="Calibri" w:eastAsia="宋体" w:cs="Times New Roman"/>
      <w:kern w:val="2"/>
      <w:sz w:val="21"/>
      <w:szCs w:val="24"/>
      <w:lang w:val="en-US" w:eastAsia="zh-CN" w:bidi="ar-SA"/>
    </w:rPr>
  </w:style>
  <w:style w:type="paragraph" w:styleId="4">
    <w:name w:val="Body Text Indent"/>
    <w:next w:val="1"/>
    <w:qFormat/>
    <w:uiPriority w:val="0"/>
    <w:pPr>
      <w:widowControl w:val="0"/>
      <w:spacing w:after="120"/>
      <w:ind w:left="420" w:leftChars="200"/>
      <w:jc w:val="both"/>
    </w:pPr>
    <w:rPr>
      <w:rFonts w:ascii="Calibri" w:hAnsi="Calibri" w:eastAsia="宋体" w:cs="Times New Roman"/>
      <w:kern w:val="2"/>
      <w:sz w:val="21"/>
      <w:szCs w:val="24"/>
      <w:lang w:val="en-US" w:eastAsia="zh-CN" w:bidi="ar-SA"/>
    </w:rPr>
  </w:style>
  <w:style w:type="paragraph" w:styleId="5">
    <w:name w:val="footer"/>
    <w:uiPriority w:val="0"/>
    <w:pPr>
      <w:widowControl w:val="0"/>
      <w:tabs>
        <w:tab w:val="center" w:pos="4153"/>
        <w:tab w:val="right" w:pos="8306"/>
      </w:tabs>
      <w:snapToGrid w:val="0"/>
      <w:jc w:val="left"/>
    </w:pPr>
    <w:rPr>
      <w:rFonts w:ascii="Calibri" w:hAnsi="Calibri" w:eastAsia="宋体" w:cs="Times New Roman"/>
      <w:kern w:val="2"/>
      <w:sz w:val="18"/>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0</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2025-12-05T07:43:00Z</dcterms:created>
  <dc:creator>包之浩</dc:creator>
  <cp:lastModifiedBy>包之浩</cp:lastModifiedBy>
  <dcterms:modified xsi:type="dcterms:W3CDTF">2025-12-05T07:45:13Z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CEB06F1D0801472CB48E0A7C968AFCD6_13</vt:lpwstr>
  </property>
  <property fmtid="{D5CDD505-2E9C-101B-9397-08002B2CF9AE}" pid="4" name="KSOTemplateDocerSaveRecord">
    <vt:lpwstr>eyJoZGlkIjoiYjkyZmNhZmMwYTRkMzdjNDc0ZDBiODA4ZTNmNjg2YzYiLCJ1c2VySWQiOiIyNjAwNDY0MjkifQ==</vt:lpwstr>
  </property>
</Properties>
</file>